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rPr>
          <w:rFonts w:ascii="Georgia" w:cs="Georgia" w:eastAsia="Georgia" w:hAnsi="Georgia"/>
          <w:b w:val="false"/>
          <w:bCs w:val="false"/>
          <w:i w:val="false"/>
          <w:iCs w:val="false"/>
          <w:color w:val="555555"/>
          <w:sz w:val="19"/>
          <w:szCs w:val="19"/>
        </w:rPr>
        <w:t xml:space="preserve">VIGI IQ, LLC  |  VIGI IQ Labs™</w:t>
      </w:r>
    </w:p>
    <w:p>
      <w:pPr>
        <w:spacing w:after="60"/>
        <w:jc w:val="center"/>
      </w:pPr>
      <w:r>
        <w:rPr>
          <w:rFonts w:ascii="Georgia" w:cs="Georgia" w:eastAsia="Georgia" w:hAnsi="Georgia"/>
          <w:b/>
          <w:bCs/>
          <w:i w:val="false"/>
          <w:iCs w:val="false"/>
          <w:color w:val="0B6E6E"/>
          <w:sz w:val="40"/>
          <w:szCs w:val="40"/>
        </w:rPr>
        <w:t xml:space="preserve">VIQ™ Full System Cognitive Architecture</w:t>
      </w:r>
    </w:p>
    <w:p>
      <w:pPr>
        <w:spacing w:after="20"/>
        <w:jc w:val="center"/>
      </w:pPr>
      <w:r>
        <w:rPr>
          <w:rFonts w:ascii="Georgia" w:cs="Georgia" w:eastAsia="Georgia" w:hAnsi="Georgia"/>
          <w:b/>
          <w:bCs/>
          <w:i w:val="false"/>
          <w:iCs w:val="false"/>
          <w:sz w:val="24"/>
          <w:szCs w:val="24"/>
        </w:rPr>
        <w:t xml:space="preserve">A Governed Synthetic Cognitive System for Structured Reasoning,</w:t>
      </w:r>
    </w:p>
    <w:p>
      <w:pPr>
        <w:spacing w:after="100"/>
        <w:jc w:val="center"/>
      </w:pPr>
      <w:r>
        <w:rPr>
          <w:rFonts w:ascii="Georgia" w:cs="Georgia" w:eastAsia="Georgia" w:hAnsi="Georgia"/>
          <w:b/>
          <w:bCs/>
          <w:i w:val="false"/>
          <w:iCs w:val="false"/>
          <w:sz w:val="24"/>
          <w:szCs w:val="24"/>
        </w:rPr>
        <w:t xml:space="preserve">Controlled Intelligence, and Human-Aligned Decision Support</w:t>
      </w:r>
    </w:p>
    <w:p>
      <w:pPr>
        <w:spacing w:after="120"/>
        <w:jc w:val="center"/>
      </w:pPr>
      <w:r>
        <w:rPr>
          <w:rFonts w:ascii="Georgia" w:cs="Georgia" w:eastAsia="Georgia" w:hAnsi="Georgia"/>
          <w:b w:val="false"/>
          <w:bCs w:val="false"/>
          <w:i/>
          <w:iCs/>
          <w:color w:val="555555"/>
          <w:sz w:val="22"/>
          <w:szCs w:val="22"/>
        </w:rPr>
        <w:t xml:space="preserve">Public Edition - Function-Level Disclosure</w:t>
      </w:r>
    </w:p>
    <w:p>
      <w:pPr>
        <w:spacing w:after="30"/>
        <w:jc w:val="center"/>
      </w:pPr>
      <w:r>
        <w:rPr>
          <w:rFonts w:ascii="Georgia" w:cs="Georgia" w:eastAsia="Georgia" w:hAnsi="Georgia"/>
          <w:b/>
          <w:bCs/>
          <w:i w:val="false"/>
          <w:iCs w:val="false"/>
          <w:color w:val="0B6E6E"/>
          <w:sz w:val="22"/>
          <w:szCs w:val="22"/>
        </w:rPr>
        <w:t xml:space="preserve">Chanel A. Henry, M.S., Ph.D.(c)</w:t>
      </w:r>
    </w:p>
    <w:p>
      <w:pPr>
        <w:spacing w:after="100"/>
        <w:jc w:val="center"/>
      </w:pPr>
      <w:r>
        <w:rPr>
          <w:rFonts w:ascii="Georgia" w:cs="Georgia" w:eastAsia="Georgia" w:hAnsi="Georgia"/>
          <w:b w:val="false"/>
          <w:bCs w:val="false"/>
          <w:i w:val="false"/>
          <w:iCs w:val="false"/>
          <w:color w:val="444444"/>
          <w:sz w:val="19"/>
          <w:szCs w:val="19"/>
        </w:rPr>
        <w:t xml:space="preserve">Founder &amp; Lead Cognitive Systems Developer, VIGI IQ, LLC</w:t>
      </w:r>
    </w:p>
    <w:p>
      <w:pPr>
        <w:spacing w:after="30"/>
        <w:jc w:val="center"/>
      </w:pPr>
      <w:r>
        <w:rPr>
          <w:rFonts w:ascii="Georgia" w:cs="Georgia" w:eastAsia="Georgia" w:hAnsi="Georgia"/>
          <w:b w:val="false"/>
          <w:bCs w:val="false"/>
          <w:i w:val="false"/>
          <w:iCs w:val="false"/>
          <w:color w:val="888888"/>
          <w:sz w:val="18"/>
          <w:szCs w:val="18"/>
        </w:rPr>
        <w:t xml:space="preserve">Version 2.0  |  August 2026</w:t>
      </w:r>
    </w:p>
    <w:p>
      <w:pPr>
        <w:spacing w:after="30"/>
        <w:jc w:val="center"/>
      </w:pPr>
      <w:r>
        <w:rPr>
          <w:rFonts w:ascii="Georgia" w:cs="Georgia" w:eastAsia="Georgia" w:hAnsi="Georgia"/>
          <w:b w:val="false"/>
          <w:bCs w:val="false"/>
          <w:i w:val="false"/>
          <w:iCs w:val="false"/>
          <w:color w:val="888888"/>
          <w:sz w:val="18"/>
          <w:szCs w:val="18"/>
        </w:rPr>
        <w:t xml:space="preserve">Patent Pending (Application No. 64/033,720; Application No. 64/142,761)  |  Copyright Registered April 2026</w:t>
      </w:r>
    </w:p>
    <w:p>
      <w:pPr>
        <w:spacing w:after="240"/>
        <w:jc w:val="center"/>
      </w:pPr>
      <w:r>
        <w:rPr>
          <w:rFonts w:ascii="Georgia" w:cs="Georgia" w:eastAsia="Georgia" w:hAnsi="Georgia"/>
          <w:b w:val="false"/>
          <w:bCs w:val="false"/>
          <w:i w:val="false"/>
          <w:iCs w:val="false"/>
          <w:color w:val="888888"/>
          <w:sz w:val="17"/>
          <w:szCs w:val="17"/>
        </w:rPr>
        <w:t xml:space="preserve">Copyright 2020-2026 Chanel A. Henry &amp; VIGI IQ, LLC. All Rights Reserved.</w:t>
      </w:r>
    </w:p>
    <w:p>
      <w:pPr>
        <w:pBdr>
          <w:bottom w:val="single" w:color="0B6E6E" w:sz="8" w:space="3"/>
        </w:pBdr>
        <w:spacing w:after="140" w:before="300"/>
      </w:pPr>
      <w:r>
        <w:rPr>
          <w:rFonts w:ascii="Georgia" w:cs="Georgia" w:eastAsia="Georgia" w:hAnsi="Georgia"/>
          <w:b/>
          <w:bCs/>
          <w:color w:val="0B6E6E"/>
          <w:sz w:val="26"/>
          <w:szCs w:val="26"/>
        </w:rPr>
        <w:t xml:space="preserve">1. Purpose and Disclosure Boundary</w:t>
      </w:r>
    </w:p>
    <w:p>
      <w:pPr>
        <w:spacing w:after="130" w:line="276"/>
        <w:jc w:val="both"/>
      </w:pPr>
      <w:r>
        <w:rPr>
          <w:rFonts w:ascii="Georgia" w:cs="Georgia" w:eastAsia="Georgia" w:hAnsi="Georgia"/>
          <w:sz w:val="21"/>
          <w:szCs w:val="21"/>
        </w:rPr>
        <w:t xml:space="preserve">This document presents the full system cognitive architecture of VIQ™ (Vigilant Intelligence Quotient, pronounced 'Vick') at the functional level. It describes what each layer of the architecture does, how the layers interact, how the system is governed, and what the completed platform becomes after the public demonstration phases - without disclosing implementation mechanics, internal component designations, or classification methods.</w:t>
      </w:r>
    </w:p>
    <w:p>
      <w:pPr>
        <w:spacing w:after="130" w:line="276"/>
        <w:jc w:val="both"/>
      </w:pPr>
      <w:r>
        <w:rPr>
          <w:rFonts w:ascii="Georgia" w:cs="Georgia" w:eastAsia="Georgia" w:hAnsi="Georgia"/>
          <w:sz w:val="21"/>
          <w:szCs w:val="21"/>
        </w:rPr>
        <w:t xml:space="preserve">This is a deliberate disclosure boundary, not an omission. Several architectural components carry proprietary designations that are withheld pending trademark registration; they are identified here by function only. Implementation mechanics - matching methods, evaluation vocabularies, internal ordering, prompt construction, and source structure - are permanently reserved to confidential materials. Readers requiring component-level or implementation-level detail may request access to the full technical documentation under non-disclosure agreement at </w:t>
      </w:r>
      <w:r>
        <w:rPr>
          <w:rFonts w:ascii="Georgia" w:cs="Georgia" w:eastAsia="Georgia" w:hAnsi="Georgia"/>
          <w:b/>
          <w:bCs/>
          <w:sz w:val="21"/>
          <w:szCs w:val="21"/>
        </w:rPr>
        <w:t xml:space="preserve">Inquiries@VigiIQ.com</w:t>
      </w:r>
      <w:r>
        <w:rPr>
          <w:rFonts w:ascii="Georgia" w:cs="Georgia" w:eastAsia="Georgia" w:hAnsi="Georgia"/>
          <w:sz w:val="21"/>
          <w:szCs w:val="21"/>
        </w:rPr>
        <w:t xml:space="preserve">.</w:t>
      </w:r>
    </w:p>
    <w:p>
      <w:pPr>
        <w:spacing w:after="130" w:line="276"/>
        <w:jc w:val="both"/>
      </w:pPr>
      <w:r>
        <w:rPr>
          <w:rFonts w:ascii="Georgia" w:cs="Georgia" w:eastAsia="Georgia" w:hAnsi="Georgia"/>
          <w:sz w:val="21"/>
          <w:szCs w:val="21"/>
        </w:rPr>
        <w:t xml:space="preserve">Everything disclosed in this document is supported by the published research record: the conceptual framework preprint (Henry, 2026; DOI 10.5281/zenodo.20447689), the Phase 4 governance efficacy study (Henry, 2026; DOI 10.5281/zenodo.20449812), and the item-level blinded inter-rater validation report (Henry, 2026; DOI 10.5281/zenodo.21323822).</w:t>
      </w:r>
    </w:p>
    <w:p>
      <w:pPr>
        <w:spacing w:after="130" w:line="276"/>
      </w:pPr>
      <w:r>
        <w:rPr>
          <w:rFonts w:ascii="Georgia" w:cs="Georgia" w:eastAsia="Georgia" w:hAnsi="Georgia"/>
          <w:b/>
          <w:bCs/>
          <w:sz w:val="21"/>
          <w:szCs w:val="21"/>
        </w:rPr>
        <w:t xml:space="preserve">A note on terminology: </w:t>
      </w:r>
      <w:r>
        <w:rPr>
          <w:rFonts w:ascii="Georgia" w:cs="Georgia" w:eastAsia="Georgia" w:hAnsi="Georgia"/>
          <w:sz w:val="21"/>
          <w:szCs w:val="21"/>
        </w:rPr>
        <w:t xml:space="preserve">the architecture is deployed in tiers. VIQ Proto™ designates the publicly accessible demonstration tier described in this document. VIQ Praxis™ designates the full realized cognitive platform described in Section 7 and Section 8, currently in development.</w:t>
      </w:r>
    </w:p>
    <w:p>
      <w:pPr>
        <w:pBdr>
          <w:bottom w:val="single" w:color="0B6E6E" w:sz="8" w:space="3"/>
        </w:pBdr>
        <w:spacing w:after="140" w:before="300"/>
      </w:pPr>
      <w:r>
        <w:rPr>
          <w:rFonts w:ascii="Georgia" w:cs="Georgia" w:eastAsia="Georgia" w:hAnsi="Georgia"/>
          <w:b/>
          <w:bCs/>
          <w:color w:val="0B6E6E"/>
          <w:sz w:val="26"/>
          <w:szCs w:val="26"/>
        </w:rPr>
        <w:t xml:space="preserve">2. Design Philosophy: Governance Before Inference</w:t>
      </w:r>
    </w:p>
    <w:p>
      <w:pPr>
        <w:spacing w:after="130" w:line="276"/>
        <w:jc w:val="both"/>
      </w:pPr>
      <w:r>
        <w:rPr>
          <w:rFonts w:ascii="Georgia" w:cs="Georgia" w:eastAsia="Georgia" w:hAnsi="Georgia"/>
          <w:sz w:val="21"/>
          <w:szCs w:val="21"/>
        </w:rPr>
        <w:t xml:space="preserve">Most contemporary AI safety operates after the fact. A model generates a response, and filters, moderation layers, or alignment tuning attempt to catch problems in what was already produced. The governance mechanism is applied to content that already exists, which means computational resources are already spent and sensitive reasoning pathways are already traversed before any governance decision is made.</w:t>
      </w:r>
    </w:p>
    <w:p>
      <w:pPr>
        <w:spacing w:after="130" w:line="276"/>
        <w:jc w:val="both"/>
      </w:pPr>
      <w:r>
        <w:rPr>
          <w:rFonts w:ascii="Georgia" w:cs="Georgia" w:eastAsia="Georgia" w:hAnsi="Georgia"/>
          <w:sz w:val="21"/>
          <w:szCs w:val="21"/>
        </w:rPr>
        <w:t xml:space="preserve">VIQ™ inverts this order. </w:t>
      </w:r>
      <w:r>
        <w:rPr>
          <w:rFonts w:ascii="Georgia" w:cs="Georgia" w:eastAsia="Georgia" w:hAnsi="Georgia"/>
          <w:b/>
          <w:bCs/>
          <w:sz w:val="21"/>
          <w:szCs w:val="21"/>
        </w:rPr>
        <w:t xml:space="preserve">The governance layer executes first, every time.</w:t>
      </w:r>
      <w:r>
        <w:rPr>
          <w:rFonts w:ascii="Georgia" w:cs="Georgia" w:eastAsia="Georgia" w:hAnsi="Georgia"/>
          <w:sz w:val="21"/>
          <w:szCs w:val="21"/>
        </w:rPr>
        <w:t xml:space="preserve"> Every input is evaluated against policy before the inference layer is engaged. Inputs that violate policy never reach the model at all. Inputs that fall outside the system's mission are redirected without inference. Only inputs that pass governance evaluation proceed to structured analytical processing. Governance is an architectural primitive, not a downstream filter.</w:t>
      </w:r>
    </w:p>
    <w:p>
      <w:pPr>
        <w:spacing w:after="130" w:line="276"/>
        <w:jc w:val="both"/>
      </w:pPr>
      <w:r>
        <w:rPr>
          <w:rFonts w:ascii="Georgia" w:cs="Georgia" w:eastAsia="Georgia" w:hAnsi="Georgia"/>
          <w:sz w:val="21"/>
          <w:szCs w:val="21"/>
        </w:rPr>
        <w:t xml:space="preserve">Three principles follow from this design and govern every layer described in this document:</w:t>
      </w:r>
    </w:p>
    <w:p>
      <w:pPr>
        <w:pStyle w:val="ListParagraph"/>
        <w:numPr>
          <w:ilvl w:val="0"/>
          <w:numId w:val="2"/>
        </w:numPr>
        <w:spacing w:after="80"/>
      </w:pPr>
      <w:r>
        <w:rPr>
          <w:rFonts w:ascii="Georgia" w:cs="Georgia" w:eastAsia="Georgia" w:hAnsi="Georgia"/>
          <w:b/>
          <w:bCs/>
          <w:sz w:val="21"/>
          <w:szCs w:val="21"/>
        </w:rPr>
        <w:t xml:space="preserve">The human is Alpha. </w:t>
      </w:r>
      <w:r>
        <w:rPr>
          <w:rFonts w:ascii="Georgia" w:cs="Georgia" w:eastAsia="Georgia" w:hAnsi="Georgia"/>
          <w:sz w:val="21"/>
          <w:szCs w:val="21"/>
        </w:rPr>
        <w:t xml:space="preserve">Every action the system takes is initiated, directed, or authorized by the human operator. The system holds no independent authority at any layer, in any mode, under any deployment configuration.</w:t>
      </w:r>
    </w:p>
    <w:p>
      <w:pPr>
        <w:pStyle w:val="ListParagraph"/>
        <w:numPr>
          <w:ilvl w:val="0"/>
          <w:numId w:val="2"/>
        </w:numPr>
        <w:spacing w:after="80"/>
      </w:pPr>
      <w:r>
        <w:rPr>
          <w:rFonts w:ascii="Georgia" w:cs="Georgia" w:eastAsia="Georgia" w:hAnsi="Georgia"/>
          <w:b/>
          <w:bCs/>
          <w:sz w:val="21"/>
          <w:szCs w:val="21"/>
        </w:rPr>
        <w:t xml:space="preserve">Capability is paired with constraint. </w:t>
      </w:r>
      <w:r>
        <w:rPr>
          <w:rFonts w:ascii="Georgia" w:cs="Georgia" w:eastAsia="Georgia" w:hAnsi="Georgia"/>
          <w:sz w:val="21"/>
          <w:szCs w:val="21"/>
        </w:rPr>
        <w:t xml:space="preserve">Each expansion of system capability is bounded by a corresponding expansion of governance. The system scales integrity alongside intelligence - it does not scale capability without constraint.</w:t>
      </w:r>
    </w:p>
    <w:p>
      <w:pPr>
        <w:pStyle w:val="ListParagraph"/>
        <w:numPr>
          <w:ilvl w:val="0"/>
          <w:numId w:val="2"/>
        </w:numPr>
        <w:spacing w:after="80"/>
      </w:pPr>
      <w:r>
        <w:rPr>
          <w:rFonts w:ascii="Georgia" w:cs="Georgia" w:eastAsia="Georgia" w:hAnsi="Georgia"/>
          <w:b/>
          <w:bCs/>
          <w:sz w:val="21"/>
          <w:szCs w:val="21"/>
        </w:rPr>
        <w:t xml:space="preserve">Outputs are earned, not generated on demand. </w:t>
      </w:r>
      <w:r>
        <w:rPr>
          <w:rFonts w:ascii="Georgia" w:cs="Georgia" w:eastAsia="Georgia" w:hAnsi="Georgia"/>
          <w:sz w:val="21"/>
          <w:szCs w:val="21"/>
        </w:rPr>
        <w:t xml:space="preserve">Every response passes through a defined evaluation process before it exists and a defined validation process before it is delivered. The architecture does not simply produce answers; it governs how answers are produced.</w:t>
      </w:r>
    </w:p>
    <w:p>
      <w:pPr>
        <w:pBdr>
          <w:bottom w:val="single" w:color="0B6E6E" w:sz="8" w:space="3"/>
        </w:pBdr>
        <w:spacing w:after="140" w:before="300"/>
      </w:pPr>
      <w:r>
        <w:rPr>
          <w:rFonts w:ascii="Georgia" w:cs="Georgia" w:eastAsia="Georgia" w:hAnsi="Georgia"/>
          <w:b/>
          <w:bCs/>
          <w:color w:val="0B6E6E"/>
          <w:sz w:val="26"/>
          <w:szCs w:val="26"/>
        </w:rPr>
        <w:t xml:space="preserve">3. The Omega Interaktiv Experience (Ω-IX™) Governance Framework</w:t>
      </w:r>
    </w:p>
    <w:p>
      <w:pPr>
        <w:spacing w:after="130" w:line="276"/>
        <w:jc w:val="both"/>
      </w:pPr>
      <w:r>
        <w:rPr>
          <w:rFonts w:ascii="Georgia" w:cs="Georgia" w:eastAsia="Georgia" w:hAnsi="Georgia"/>
          <w:sz w:val="21"/>
          <w:szCs w:val="21"/>
        </w:rPr>
        <w:t xml:space="preserve">All components of the VIQ™ architecture operate under a single unified governance framework: the Omega Interaktiv Experience (Ω-IX™). The framework implements a hierarchical control model with three principal roles:</w:t>
      </w:r>
    </w:p>
    <w:p>
      <w:pPr>
        <w:pStyle w:val="ListParagraph"/>
        <w:numPr>
          <w:ilvl w:val="0"/>
          <w:numId w:val="2"/>
        </w:numPr>
        <w:spacing w:after="80"/>
      </w:pPr>
      <w:r>
        <w:rPr>
          <w:rFonts w:ascii="Georgia" w:cs="Georgia" w:eastAsia="Georgia" w:hAnsi="Georgia"/>
          <w:b/>
          <w:bCs/>
          <w:sz w:val="21"/>
          <w:szCs w:val="21"/>
        </w:rPr>
        <w:t xml:space="preserve">Alpha - the human operator. </w:t>
      </w:r>
      <w:r>
        <w:rPr>
          <w:rFonts w:ascii="Georgia" w:cs="Georgia" w:eastAsia="Georgia" w:hAnsi="Georgia"/>
          <w:sz w:val="21"/>
          <w:szCs w:val="21"/>
        </w:rPr>
        <w:t xml:space="preserve">Always in full control. Every system action must be initiated, directed, or authorized by the Alpha.</w:t>
      </w:r>
    </w:p>
    <w:p>
      <w:pPr>
        <w:pStyle w:val="ListParagraph"/>
        <w:numPr>
          <w:ilvl w:val="0"/>
          <w:numId w:val="2"/>
        </w:numPr>
        <w:spacing w:after="80"/>
      </w:pPr>
      <w:r>
        <w:rPr>
          <w:rFonts w:ascii="Georgia" w:cs="Georgia" w:eastAsia="Georgia" w:hAnsi="Georgia"/>
          <w:b/>
          <w:bCs/>
          <w:sz w:val="21"/>
          <w:szCs w:val="21"/>
        </w:rPr>
        <w:t xml:space="preserve">Beta - the AI system. </w:t>
      </w:r>
      <w:r>
        <w:rPr>
          <w:rFonts w:ascii="Georgia" w:cs="Georgia" w:eastAsia="Georgia" w:hAnsi="Georgia"/>
          <w:sz w:val="21"/>
          <w:szCs w:val="21"/>
        </w:rPr>
        <w:t xml:space="preserve">All cognitive components operate in a subservient, supportive capacity, bounded by assigned permissions.</w:t>
      </w:r>
    </w:p>
    <w:p>
      <w:pPr>
        <w:pStyle w:val="ListParagraph"/>
        <w:numPr>
          <w:ilvl w:val="0"/>
          <w:numId w:val="2"/>
        </w:numPr>
        <w:spacing w:after="80"/>
      </w:pPr>
      <w:r>
        <w:rPr>
          <w:rFonts w:ascii="Georgia" w:cs="Georgia" w:eastAsia="Georgia" w:hAnsi="Georgia"/>
          <w:b/>
          <w:bCs/>
          <w:sz w:val="21"/>
          <w:szCs w:val="21"/>
        </w:rPr>
        <w:t xml:space="preserve">Omega (Ω) - the governed outcome. </w:t>
      </w:r>
      <w:r>
        <w:rPr>
          <w:rFonts w:ascii="Georgia" w:cs="Georgia" w:eastAsia="Georgia" w:hAnsi="Georgia"/>
          <w:sz w:val="21"/>
          <w:szCs w:val="21"/>
        </w:rPr>
        <w:t xml:space="preserve">Every outcome is measured solely against human intent and human benefit as defined by the Alpha.</w:t>
      </w:r>
    </w:p>
    <w:p>
      <w:pPr>
        <w:spacing w:after="130" w:line="276"/>
        <w:jc w:val="both"/>
      </w:pPr>
      <w:r>
        <w:rPr>
          <w:rFonts w:ascii="Georgia" w:cs="Georgia" w:eastAsia="Georgia" w:hAnsi="Georgia"/>
          <w:sz w:val="21"/>
          <w:szCs w:val="21"/>
        </w:rPr>
        <w:t xml:space="preserve">The framework further incorporates </w:t>
      </w:r>
      <w:r>
        <w:rPr>
          <w:rFonts w:ascii="Georgia" w:cs="Georgia" w:eastAsia="Georgia" w:hAnsi="Georgia"/>
          <w:b/>
          <w:bCs/>
          <w:sz w:val="21"/>
          <w:szCs w:val="21"/>
        </w:rPr>
        <w:t xml:space="preserve">Levels of Resolve™</w:t>
      </w:r>
      <w:r>
        <w:rPr>
          <w:rFonts w:ascii="Georgia" w:cs="Georgia" w:eastAsia="Georgia" w:hAnsi="Georgia"/>
          <w:sz w:val="21"/>
          <w:szCs w:val="21"/>
        </w:rPr>
        <w:t xml:space="preserve"> - a tiered permission architecture in which every cognitive component is assigned a designated scope of autonomous operation. No component may exceed its designated level without explicit human authorization. The Levels of Resolve™ system is implemented as a mandatory pre-execution gate: every proposed action is evaluated against its permission tier before execution, not after.</w:t>
      </w:r>
    </w:p>
    <w:p>
      <w:pPr>
        <w:spacing w:after="90" w:before="220"/>
      </w:pPr>
      <w:r>
        <w:rPr>
          <w:rFonts w:ascii="Georgia" w:cs="Georgia" w:eastAsia="Georgia" w:hAnsi="Georgia"/>
          <w:b/>
          <w:bCs/>
          <w:color w:val="0B6E6E"/>
          <w:sz w:val="22"/>
          <w:szCs w:val="22"/>
        </w:rPr>
        <w:t xml:space="preserve">3.1 Routing Decisions</w:t>
      </w:r>
    </w:p>
    <w:p>
      <w:pPr>
        <w:spacing w:after="130" w:line="276"/>
        <w:jc w:val="both"/>
      </w:pPr>
      <w:r>
        <w:rPr>
          <w:rFonts w:ascii="Georgia" w:cs="Georgia" w:eastAsia="Georgia" w:hAnsi="Georgia"/>
          <w:sz w:val="21"/>
          <w:szCs w:val="21"/>
        </w:rPr>
        <w:t xml:space="preserve">Pre-execution governance assigns every input one of three routing decisions, as documented in the published Phase 4 research:</w:t>
      </w:r>
    </w:p>
    <w:p>
      <w:pPr>
        <w:pStyle w:val="ListParagraph"/>
        <w:numPr>
          <w:ilvl w:val="0"/>
          <w:numId w:val="2"/>
        </w:numPr>
        <w:spacing w:after="80"/>
      </w:pPr>
      <w:r>
        <w:rPr>
          <w:rFonts w:ascii="Georgia" w:cs="Georgia" w:eastAsia="Georgia" w:hAnsi="Georgia"/>
          <w:b/>
          <w:bCs/>
          <w:sz w:val="21"/>
          <w:szCs w:val="21"/>
        </w:rPr>
        <w:t xml:space="preserve">Alpha-Authorized: </w:t>
      </w:r>
      <w:r>
        <w:rPr>
          <w:rFonts w:ascii="Georgia" w:cs="Georgia" w:eastAsia="Georgia" w:hAnsi="Georgia"/>
          <w:sz w:val="21"/>
          <w:szCs w:val="21"/>
        </w:rPr>
        <w:t xml:space="preserve">the input is within mission and policy; it proceeds to structured analytical processing through the bounded inference layer.</w:t>
      </w:r>
    </w:p>
    <w:p>
      <w:pPr>
        <w:pStyle w:val="ListParagraph"/>
        <w:numPr>
          <w:ilvl w:val="0"/>
          <w:numId w:val="2"/>
        </w:numPr>
        <w:spacing w:after="80"/>
      </w:pPr>
      <w:r>
        <w:rPr>
          <w:rFonts w:ascii="Georgia" w:cs="Georgia" w:eastAsia="Georgia" w:hAnsi="Georgia"/>
          <w:b/>
          <w:bCs/>
          <w:sz w:val="21"/>
          <w:szCs w:val="21"/>
        </w:rPr>
        <w:t xml:space="preserve">Beta-Guarded: </w:t>
      </w:r>
      <w:r>
        <w:rPr>
          <w:rFonts w:ascii="Georgia" w:cs="Georgia" w:eastAsia="Georgia" w:hAnsi="Georgia"/>
          <w:sz w:val="21"/>
          <w:szCs w:val="21"/>
        </w:rPr>
        <w:t xml:space="preserve">the input falls outside the system's mission; it is redirected with a policy-compliant response, without engaging inference.</w:t>
      </w:r>
    </w:p>
    <w:p>
      <w:pPr>
        <w:pStyle w:val="ListParagraph"/>
        <w:numPr>
          <w:ilvl w:val="0"/>
          <w:numId w:val="2"/>
        </w:numPr>
        <w:spacing w:after="80"/>
      </w:pPr>
      <w:r>
        <w:rPr>
          <w:rFonts w:ascii="Georgia" w:cs="Georgia" w:eastAsia="Georgia" w:hAnsi="Georgia"/>
          <w:b/>
          <w:bCs/>
          <w:sz w:val="21"/>
          <w:szCs w:val="21"/>
        </w:rPr>
        <w:t xml:space="preserve">Omega-Restricted: </w:t>
      </w:r>
      <w:r>
        <w:rPr>
          <w:rFonts w:ascii="Georgia" w:cs="Georgia" w:eastAsia="Georgia" w:hAnsi="Georgia"/>
          <w:sz w:val="21"/>
          <w:szCs w:val="21"/>
        </w:rPr>
        <w:t xml:space="preserve">the input violates governance policy; it is blocked entirely, without engaging inference.</w:t>
      </w:r>
    </w:p>
    <w:p>
      <w:pPr>
        <w:spacing w:after="130" w:line="276"/>
        <w:jc w:val="both"/>
      </w:pPr>
      <w:r>
        <w:rPr>
          <w:rFonts w:ascii="Georgia" w:cs="Georgia" w:eastAsia="Georgia" w:hAnsi="Georgia"/>
          <w:sz w:val="21"/>
          <w:szCs w:val="21"/>
        </w:rPr>
        <w:t xml:space="preserve">Blocked and redirected inputs never reach the model. This produces a measurable computational efficiency gain - in the Phase 4 study, 18.7% of battery prompts were resolved by pre-execution governance without any inference cost - and, more importantly, it means governance decisions are deterministic, auditable, and traceable rather than emergent properties of model behavior.</w:t>
      </w:r>
    </w:p>
    <w:p>
      <w:pPr>
        <w:spacing w:after="90" w:before="220"/>
      </w:pPr>
      <w:r>
        <w:rPr>
          <w:rFonts w:ascii="Georgia" w:cs="Georgia" w:eastAsia="Georgia" w:hAnsi="Georgia"/>
          <w:b/>
          <w:bCs/>
          <w:color w:val="0B6E6E"/>
          <w:sz w:val="22"/>
          <w:szCs w:val="22"/>
        </w:rPr>
        <w:t xml:space="preserve">3.2 Dual-Gate Defense in Depth</w:t>
      </w:r>
    </w:p>
    <w:p>
      <w:pPr>
        <w:spacing w:after="130" w:line="276"/>
        <w:jc w:val="both"/>
      </w:pPr>
      <w:r>
        <w:rPr>
          <w:rFonts w:ascii="Georgia" w:cs="Georgia" w:eastAsia="Georgia" w:hAnsi="Georgia"/>
          <w:sz w:val="21"/>
          <w:szCs w:val="21"/>
        </w:rPr>
        <w:t xml:space="preserve">Governance operates on both sides of the inference layer. The input gate evaluates policy before the model is engaged. A second, independent output boundary validation layer inspects everything the model produces before it is delivered, screening for protected content and enforcing structural requirements. A policy violation therefore cannot reach the user even if it survives inference - the two gates fail independently, and both must be passed.</w:t>
      </w:r>
    </w:p>
    <w:p>
      <w:pPr>
        <w:spacing w:before="200" w:after="90"/>
      </w:pPr>
      <w:r>
        <w:rPr>
          <w:rFonts w:ascii="Georgia" w:cs="Georgia" w:eastAsia="Georgia" w:hAnsi="Georgia"/>
          <w:b/>
          <w:bCs/>
          <w:color w:val="0B6E6E"/>
          <w:sz w:val="22"/>
          <w:szCs w:val="22"/>
        </w:rPr>
        <w:t xml:space="preserve">3.3 Extended Admissibility: Beyond Authorization</w:t>
      </w:r>
    </w:p>
    <w:p>
      <w:pPr>
        <w:spacing w:after="130" w:line="276"/>
      </w:pPr>
      <w:r>
        <w:rPr>
          <w:rFonts w:ascii="Georgia" w:cs="Georgia" w:eastAsia="Georgia" w:hAnsi="Georgia"/>
          <w:sz w:val="21"/>
          <w:szCs w:val="21"/>
        </w:rPr>
        <w:t xml:space="preserve">The routing decisions above answer a specific question: is this operation permitted? That question is necessary but not sufficient. An operation can be fully authorized, correctly routed, and internally consistent, while the result it produces has not earned the right to be relied upon. The framework accordingly extends governance to a second, independent question: is the basis on which this result was produced sound enough to permit it to propagate.</w:t>
      </w:r>
    </w:p>
    <w:p>
      <w:pPr>
        <w:spacing w:after="130" w:line="276"/>
      </w:pPr>
      <w:r>
        <w:rPr>
          <w:rFonts w:ascii="Georgia" w:cs="Georgia" w:eastAsia="Georgia" w:hAnsi="Georgia"/>
          <w:b/>
          <w:bCs/>
          <w:sz w:val="21"/>
          <w:szCs w:val="21"/>
        </w:rPr>
        <w:t xml:space="preserve">Four determinations, evaluated independently. </w:t>
      </w:r>
      <w:r>
        <w:rPr>
          <w:rFonts w:ascii="Georgia" w:cs="Georgia" w:eastAsia="Georgia" w:hAnsi="Georgia"/>
          <w:sz w:val="21"/>
          <w:szCs w:val="21"/>
        </w:rPr>
        <w:t xml:space="preserve">Permission to propagate is conditioned on the conjunction of policy admissibility (is the operation authorized), epistemic admissibility (is the evidentiary basis of the result sufficient to rely on it), computational admissibility (is the representation used to produce the result capable of expressing the precision it is required to carry), and verification sufficiency (is the check applied to the result structurally capable of detecting the errors its production is subject to). None of the four substitutes for any other; an operation may be authorized and still computationally inadmissible.</w:t>
      </w:r>
    </w:p>
    <w:p>
      <w:pPr>
        <w:spacing w:after="130" w:line="276"/>
      </w:pPr>
      <w:r>
        <w:rPr>
          <w:rFonts w:ascii="Georgia" w:cs="Georgia" w:eastAsia="Georgia" w:hAnsi="Georgia"/>
          <w:b/>
          <w:bCs/>
          <w:sz w:val="21"/>
          <w:szCs w:val="21"/>
        </w:rPr>
        <w:t xml:space="preserve">Why a fourth gate is required. </w:t>
      </w:r>
      <w:r>
        <w:rPr>
          <w:rFonts w:ascii="Georgia" w:cs="Georgia" w:eastAsia="Georgia" w:hAnsi="Georgia"/>
          <w:sz w:val="21"/>
          <w:szCs w:val="21"/>
        </w:rPr>
        <w:t xml:space="preserve">A result can satisfy every conventional check, schema validation, format compliance, an authorized routing decision, while still resting on a numeric representation inadequate to the precision it claims, or on a verification process that shares the same blind spot as the process it is meant to check. Neither failure is visible by inspecting the output. Both are detectable by evaluating the representation and the independence of the check before the result is trusted.</w:t>
      </w:r>
    </w:p>
    <w:p>
      <w:pPr>
        <w:spacing w:after="130" w:line="276"/>
      </w:pPr>
      <w:r>
        <w:rPr>
          <w:rFonts w:ascii="Georgia" w:cs="Georgia" w:eastAsia="Georgia" w:hAnsi="Georgia"/>
          <w:sz w:val="21"/>
          <w:szCs w:val="21"/>
        </w:rPr>
        <w:t xml:space="preserve">This extension operates at the framework level: it applies within the cognitive architecture itself, including in fully standalone, software-only deployment, not only at a boundary to an external system. It composes with, and does not replace, the Levels of Resolve™ permission architecture described above; the stringency of each admissibility criterion can be configured per permission tier.</w:t>
      </w:r>
    </w:p>
    <w:p>
      <w:pPr>
        <w:pBdr>
          <w:bottom w:val="single" w:color="0B6E6E" w:sz="8" w:space="3"/>
        </w:pBdr>
        <w:spacing w:after="140" w:before="300"/>
      </w:pPr>
      <w:r>
        <w:rPr>
          <w:rFonts w:ascii="Georgia" w:cs="Georgia" w:eastAsia="Georgia" w:hAnsi="Georgia"/>
          <w:b/>
          <w:bCs/>
          <w:color w:val="0B6E6E"/>
          <w:sz w:val="26"/>
          <w:szCs w:val="26"/>
        </w:rPr>
        <w:t xml:space="preserve">4. The Cognitive Layer Model</w:t>
      </w:r>
    </w:p>
    <w:p>
      <w:pPr>
        <w:spacing w:after="130" w:line="276"/>
        <w:jc w:val="both"/>
      </w:pPr>
      <w:r>
        <w:rPr>
          <w:rFonts w:ascii="Georgia" w:cs="Georgia" w:eastAsia="Georgia" w:hAnsi="Georgia"/>
          <w:sz w:val="21"/>
          <w:szCs w:val="21"/>
        </w:rPr>
        <w:t xml:space="preserve">VIQ™ is designed as a synthetic cognitive architecture: a family of specialized layers mapped to human cognitive functions - analytical reasoning, adaptive memory, visual intelligence, research and inquiry, and structured directive processing - operating within a single governed environment. The system's functional value arises from the structured interaction between layers, not from any single layer operating in isolation. The layers are presented here by function; proprietary component designations are withheld pending trademark registration.</w:t>
      </w:r>
    </w:p>
    <w:p>
      <w:pPr>
        <w:spacing w:after="90" w:before="220"/>
      </w:pPr>
      <w:r>
        <w:rPr>
          <w:rFonts w:ascii="Georgia" w:cs="Georgia" w:eastAsia="Georgia" w:hAnsi="Georgia"/>
          <w:b/>
          <w:bCs/>
          <w:color w:val="0B6E6E"/>
          <w:sz w:val="22"/>
          <w:szCs w:val="22"/>
        </w:rPr>
        <w:t xml:space="preserve">4.1 Unified Orchestration Layer</w:t>
      </w:r>
    </w:p>
    <w:p>
      <w:pPr>
        <w:spacing w:after="130" w:line="276"/>
        <w:jc w:val="both"/>
      </w:pPr>
      <w:r>
        <w:rPr>
          <w:rFonts w:ascii="Georgia" w:cs="Georgia" w:eastAsia="Georgia" w:hAnsi="Georgia"/>
          <w:sz w:val="21"/>
          <w:szCs w:val="21"/>
        </w:rPr>
        <w:t xml:space="preserve">The governing layer under which every other layer operates. It implements the Ω-IX™ framework and the Levels of Resolve™ permission architecture, sequences all governance gates ahead of inference, routes validated inputs to the appropriate cognitive layers, and enforces system-wide consistency. No cognitive layer receives any input that has not first passed through this layer's evaluation, and no layer can be licensed, deployed, or operated independently of it. Governance is not optional functionality; it is the operational foundation.</w:t>
      </w:r>
    </w:p>
    <w:p>
      <w:pPr>
        <w:spacing w:after="90" w:before="220"/>
      </w:pPr>
      <w:r>
        <w:rPr>
          <w:rFonts w:ascii="Georgia" w:cs="Georgia" w:eastAsia="Georgia" w:hAnsi="Georgia"/>
          <w:b/>
          <w:bCs/>
          <w:color w:val="0B6E6E"/>
          <w:sz w:val="22"/>
          <w:szCs w:val="22"/>
        </w:rPr>
        <w:t xml:space="preserve">4.2 Structured Analytical Layer</w:t>
      </w:r>
    </w:p>
    <w:p>
      <w:pPr>
        <w:spacing w:after="130" w:line="276"/>
        <w:jc w:val="both"/>
      </w:pPr>
      <w:r>
        <w:rPr>
          <w:rFonts w:ascii="Georgia" w:cs="Georgia" w:eastAsia="Georgia" w:hAnsi="Georgia"/>
          <w:sz w:val="21"/>
          <w:szCs w:val="21"/>
        </w:rPr>
        <w:t xml:space="preserve">The reasoning center of the architecture, responsible for structured logical reasoning, statistical and quantitative interpretation, and methodical problem-solving. Within this layer, a dedicated analytical and computational node handles data analysis, significance interpretation, multivariate reasoning, and vigilance monitoring.</w:t>
      </w:r>
    </w:p>
    <w:p>
      <w:pPr>
        <w:spacing w:after="130" w:line="276"/>
        <w:jc w:val="both"/>
      </w:pPr>
      <w:r>
        <w:rPr>
          <w:rFonts w:ascii="Georgia" w:cs="Georgia" w:eastAsia="Georgia" w:hAnsi="Georgia"/>
          <w:sz w:val="21"/>
          <w:szCs w:val="21"/>
        </w:rPr>
        <w:t xml:space="preserve">A defining feature of this layer is </w:t>
      </w:r>
      <w:r>
        <w:rPr>
          <w:rFonts w:ascii="Georgia" w:cs="Georgia" w:eastAsia="Georgia" w:hAnsi="Georgia"/>
          <w:b/>
          <w:bCs/>
          <w:sz w:val="21"/>
          <w:szCs w:val="21"/>
        </w:rPr>
        <w:t xml:space="preserve">structured output</w:t>
      </w:r>
      <w:r>
        <w:rPr>
          <w:rFonts w:ascii="Georgia" w:cs="Georgia" w:eastAsia="Georgia" w:hAnsi="Georgia"/>
          <w:sz w:val="21"/>
          <w:szCs w:val="21"/>
        </w:rPr>
        <w:t xml:space="preserve">: every analytical response is delivered in a defined schema comprising a summary, itemized analytical insights, a step-by-step reasoning trace, a quantified confidence score with an associated confidence band, and a recommended next step. Structured output makes the system's reasoning visible, supports downstream processing, and ensures reproducibility. Intelligence is delivered as an interpretable product, not as freeform generation.</w:t>
      </w:r>
    </w:p>
    <w:p>
      <w:pPr>
        <w:spacing w:after="90" w:before="220"/>
      </w:pPr>
      <w:r>
        <w:rPr>
          <w:rFonts w:ascii="Georgia" w:cs="Georgia" w:eastAsia="Georgia" w:hAnsi="Georgia"/>
          <w:b/>
          <w:bCs/>
          <w:color w:val="0B6E6E"/>
          <w:sz w:val="22"/>
          <w:szCs w:val="22"/>
        </w:rPr>
        <w:t xml:space="preserve">4.3 Adaptive Memory Layer</w:t>
      </w:r>
    </w:p>
    <w:p>
      <w:pPr>
        <w:spacing w:after="130" w:line="276"/>
        <w:jc w:val="both"/>
      </w:pPr>
      <w:r>
        <w:rPr>
          <w:rFonts w:ascii="Georgia" w:cs="Georgia" w:eastAsia="Georgia" w:hAnsi="Georgia"/>
          <w:sz w:val="21"/>
          <w:szCs w:val="21"/>
        </w:rPr>
        <w:t xml:space="preserve">The continuity layer of the architecture, responsible for persistent memory that survives across separate sessions - not merely within a single context window. This layer stores structured interaction records with accurate timestamps, maintains longitudinal user preference and analytical history, retains active mode state across sessions, and makes stored context available to all other layers in subsequent interactions. In the full system, memory is partitioned per user as a stated design requirement, with storage that may be selective, conditional, or rule-based depending on configuration and active permission tier. The adaptive loop through this layer enables the system to refine its responses over time based on historical interaction patterns - always within governed bounds.</w:t>
      </w:r>
    </w:p>
    <w:p>
      <w:pPr>
        <w:spacing w:after="90" w:before="220"/>
      </w:pPr>
      <w:r>
        <w:rPr>
          <w:rFonts w:ascii="Georgia" w:cs="Georgia" w:eastAsia="Georgia" w:hAnsi="Georgia"/>
          <w:b/>
          <w:bCs/>
          <w:color w:val="0B6E6E"/>
          <w:sz w:val="22"/>
          <w:szCs w:val="22"/>
        </w:rPr>
        <w:t xml:space="preserve">4.4 Visual &amp; Conceptual Processing Layer</w:t>
      </w:r>
    </w:p>
    <w:p>
      <w:pPr>
        <w:spacing w:after="130" w:line="276"/>
        <w:jc w:val="both"/>
      </w:pPr>
      <w:r>
        <w:rPr>
          <w:rFonts w:ascii="Georgia" w:cs="Georgia" w:eastAsia="Georgia" w:hAnsi="Georgia"/>
          <w:sz w:val="21"/>
          <w:szCs w:val="21"/>
        </w:rPr>
        <w:t xml:space="preserve">A future-facing layer responsible for visual thinking, spatial reasoning, creative problem-solving, data visualization, and the interpretation of outputs produced by the imaging layer. It functions as the interpretive half of a paired visual intelligence pipeline: the imaging layer encodes visual input; this layer reasons over it and generates visual and interpretive output. Neither half realizes its full function without the other.</w:t>
      </w:r>
    </w:p>
    <w:p>
      <w:pPr>
        <w:spacing w:after="90" w:before="220"/>
      </w:pPr>
      <w:r>
        <w:rPr>
          <w:rFonts w:ascii="Georgia" w:cs="Georgia" w:eastAsia="Georgia" w:hAnsi="Georgia"/>
          <w:b/>
          <w:bCs/>
          <w:color w:val="0B6E6E"/>
          <w:sz w:val="22"/>
          <w:szCs w:val="22"/>
        </w:rPr>
        <w:t xml:space="preserve">4.5 Imaging &amp; Vision Layer</w:t>
      </w:r>
    </w:p>
    <w:p>
      <w:pPr>
        <w:spacing w:after="130" w:line="276"/>
        <w:jc w:val="both"/>
      </w:pPr>
      <w:r>
        <w:rPr>
          <w:rFonts w:ascii="Georgia" w:cs="Georgia" w:eastAsia="Georgia" w:hAnsi="Georgia"/>
          <w:sz w:val="21"/>
          <w:szCs w:val="21"/>
        </w:rPr>
        <w:t xml:space="preserve">The vision input system of the architecture: a controlled capability for processing, encoding, and interpreting visual data, including medical imaging, biomechanical visualization, real-time environmental interpretation, and anomaly detection with both verbal and visual explanation generation. As with every layer, imaging operations execute only within assigned permission tiers and only under governed pathways.</w:t>
      </w:r>
    </w:p>
    <w:p>
      <w:pPr>
        <w:spacing w:after="90" w:before="220"/>
      </w:pPr>
      <w:r>
        <w:rPr>
          <w:rFonts w:ascii="Georgia" w:cs="Georgia" w:eastAsia="Georgia" w:hAnsi="Georgia"/>
          <w:b/>
          <w:bCs/>
          <w:color w:val="0B6E6E"/>
          <w:sz w:val="22"/>
          <w:szCs w:val="22"/>
        </w:rPr>
        <w:t xml:space="preserve">4.6 Research &amp; Inquiry Layer</w:t>
      </w:r>
    </w:p>
    <w:p>
      <w:pPr>
        <w:spacing w:after="130" w:line="276"/>
        <w:jc w:val="both"/>
      </w:pPr>
      <w:r>
        <w:rPr>
          <w:rFonts w:ascii="Georgia" w:cs="Georgia" w:eastAsia="Georgia" w:hAnsi="Georgia"/>
          <w:sz w:val="21"/>
          <w:szCs w:val="21"/>
        </w:rPr>
        <w:t xml:space="preserve">An advanced layer that performs structured inquiry and synthesizes external information under governed constraints. It is distinguished from conventional search in five ways: inquiry is calibrated to the operator's professional domain rather than driven by keyword retrieval; findings are synthesized into actionable intelligence rather than ranked links; research is informed by the operator's prior history through the memory layer; results feed directly into the analytical layer for structured processing; and inquiry directives are precise and reproducible rather than conversational. This is the only modular, optional layer in the architecture - every other layer is foundational.</w:t>
      </w:r>
    </w:p>
    <w:p>
      <w:pPr>
        <w:spacing w:after="90" w:before="220"/>
      </w:pPr>
      <w:r>
        <w:rPr>
          <w:rFonts w:ascii="Georgia" w:cs="Georgia" w:eastAsia="Georgia" w:hAnsi="Georgia"/>
          <w:b/>
          <w:bCs/>
          <w:color w:val="0B6E6E"/>
          <w:sz w:val="22"/>
          <w:szCs w:val="22"/>
        </w:rPr>
        <w:t xml:space="preserve">4.7 Directive &amp; Command Environment</w:t>
      </w:r>
    </w:p>
    <w:p>
      <w:pPr>
        <w:spacing w:after="130" w:line="276"/>
        <w:jc w:val="both"/>
      </w:pPr>
      <w:r>
        <w:rPr>
          <w:rFonts w:ascii="Georgia" w:cs="Georgia" w:eastAsia="Georgia" w:hAnsi="Georgia"/>
          <w:sz w:val="21"/>
          <w:szCs w:val="21"/>
        </w:rPr>
        <w:t xml:space="preserve">Beyond natural language interaction, the full system provides a structured directive environment: a proprietary command interface (designation withheld pending trademark registration) through which formatted or spoken instructions are interpreted as precise, reproducible executable directives. The environment includes mode-switching directives that activate operational profiles - clinical, research, creative, and executive postures are confirmed operational modes - modifying tone, depth, layer prioritization, and output structure system-wide, with the active mode persisting in memory across sessions. Structured directives give high-stakes environments the precision and reproducibility that conversational interfaces cannot provide, while natural language interaction remains available for general use.</w:t>
      </w:r>
    </w:p>
    <w:p>
      <w:pPr>
        <w:pBdr>
          <w:bottom w:val="single" w:color="0B6E6E" w:sz="8" w:space="3"/>
        </w:pBdr>
        <w:spacing w:after="140" w:before="300"/>
      </w:pPr>
      <w:r>
        <w:rPr>
          <w:rFonts w:ascii="Georgia" w:cs="Georgia" w:eastAsia="Georgia" w:hAnsi="Georgia"/>
          <w:b/>
          <w:bCs/>
          <w:color w:val="0B6E6E"/>
          <w:sz w:val="26"/>
          <w:szCs w:val="26"/>
        </w:rPr>
        <w:t xml:space="preserve">5. The Governed Processing Pipeline</w:t>
      </w:r>
    </w:p>
    <w:p>
      <w:pPr>
        <w:spacing w:after="130" w:line="276"/>
        <w:jc w:val="both"/>
      </w:pPr>
      <w:r>
        <w:rPr>
          <w:rFonts w:ascii="Georgia" w:cs="Georgia" w:eastAsia="Georgia" w:hAnsi="Georgia"/>
          <w:sz w:val="21"/>
          <w:szCs w:val="21"/>
        </w:rPr>
        <w:t xml:space="preserve">The system operates through a structured, multi-stage pipeline governing the transformation of input into output. The pipeline below is presented conceptually; internal evaluation orderings and classification methods are reserved to confidential documentation.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rPr>
          <w:tblHeader/>
        </w:trPr>
        <w:tc>
          <w:tcPr>
            <w:tcW w:type="dxa" w:w="2500"/>
            <w:tcBorders>
              <w:top w:val="single" w:color="BBBBBB" w:sz="1"/>
              <w:left w:val="single" w:color="BBBBBB" w:sz="1"/>
              <w:bottom w:val="single" w:color="BBBBBB" w:sz="1"/>
              <w:right w:val="single" w:color="BBBBBB" w:sz="1"/>
            </w:tcBorders>
            <w:shd w:fill="0B6E6E" w:val="clear"/>
            <w:tcMar>
              <w:top w:type="dxa" w:w="80"/>
              <w:left w:type="dxa" w:w="120"/>
              <w:bottom w:type="dxa" w:w="80"/>
              <w:right w:type="dxa" w:w="120"/>
            </w:tcMar>
          </w:tcPr>
          <w:p>
            <w:r>
              <w:rPr>
                <w:rFonts w:ascii="Georgia" w:cs="Georgia" w:eastAsia="Georgia" w:hAnsi="Georgia"/>
                <w:b/>
                <w:bCs/>
                <w:color w:val="FFFFFF"/>
                <w:sz w:val="18"/>
                <w:szCs w:val="18"/>
              </w:rPr>
              <w:t xml:space="preserve">Stage</w:t>
            </w:r>
          </w:p>
        </w:tc>
        <w:tc>
          <w:tcPr>
            <w:tcW w:type="dxa" w:w="6860"/>
            <w:tcBorders>
              <w:top w:val="single" w:color="BBBBBB" w:sz="1"/>
              <w:left w:val="single" w:color="BBBBBB" w:sz="1"/>
              <w:bottom w:val="single" w:color="BBBBBB" w:sz="1"/>
              <w:right w:val="single" w:color="BBBBBB" w:sz="1"/>
            </w:tcBorders>
            <w:shd w:fill="0B6E6E" w:val="clear"/>
            <w:tcMar>
              <w:top w:type="dxa" w:w="80"/>
              <w:left w:type="dxa" w:w="120"/>
              <w:bottom w:type="dxa" w:w="80"/>
              <w:right w:type="dxa" w:w="120"/>
            </w:tcMar>
          </w:tcPr>
          <w:p>
            <w:r>
              <w:rPr>
                <w:rFonts w:ascii="Georgia" w:cs="Georgia" w:eastAsia="Georgia" w:hAnsi="Georgia"/>
                <w:b/>
                <w:bCs/>
                <w:color w:val="FFFFFF"/>
                <w:sz w:val="18"/>
                <w:szCs w:val="18"/>
              </w:rPr>
              <w:t xml:space="preserve">Function</w:t>
            </w:r>
          </w:p>
        </w:tc>
      </w:tr>
      <w:tr>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1. Input Reception</w:t>
            </w:r>
          </w:p>
        </w:tc>
        <w:tc>
          <w:tcPr>
            <w:tcW w:type="dxa" w:w="68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Input is received through the interaction environment - natural language or structured directive - and normalized for system-level processing.</w:t>
            </w:r>
          </w:p>
        </w:tc>
      </w:tr>
      <w:tr>
        <w:tc>
          <w:tcPr>
            <w:tcW w:type="dxa" w:w="250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2. Governance Evaluation</w:t>
            </w:r>
          </w:p>
        </w:tc>
        <w:tc>
          <w:tcPr>
            <w:tcW w:type="dxa" w:w="686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The unified orchestration layer evaluates the input against the Ω-IX™ hierarchy, Levels of Resolve™ permissions, and policy constraints, assigning an Alpha-Authorized, Beta-Guarded, or Omega-Restricted routing decision. No cognitive layer receives input that has not passed this stage.</w:t>
            </w:r>
          </w:p>
        </w:tc>
      </w:tr>
      <w:tr>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3. Parsing &amp; Routing</w:t>
            </w:r>
          </w:p>
        </w:tc>
        <w:tc>
          <w:tcPr>
            <w:tcW w:type="dxa" w:w="68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Validated input is parsed to identify the target layer, requested action, and processing domain, then routed to one or more cognitive layers for execution.</w:t>
            </w:r>
          </w:p>
        </w:tc>
      </w:tr>
      <w:tr>
        <w:tc>
          <w:tcPr>
            <w:tcW w:type="dxa" w:w="250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4. Layer Execution</w:t>
            </w:r>
          </w:p>
        </w:tc>
        <w:tc>
          <w:tcPr>
            <w:tcW w:type="dxa" w:w="686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The receiving layer executes within its defined functional domain and assigned permission tier, in coordination with other layers where required.</w:t>
            </w:r>
          </w:p>
        </w:tc>
      </w:tr>
      <w:tr>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5. Memory Integration</w:t>
            </w:r>
          </w:p>
        </w:tc>
        <w:tc>
          <w:tcPr>
            <w:tcW w:type="dxa" w:w="68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Relevant outputs and context are transmitted to the adaptive memory layer for timestamped storage, longitudinal record-keeping, and cross-session continuity.</w:t>
            </w:r>
          </w:p>
        </w:tc>
      </w:tr>
      <w:tr>
        <w:tc>
          <w:tcPr>
            <w:tcW w:type="dxa" w:w="250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6. Output Validation &amp; Delivery</w:t>
            </w:r>
          </w:p>
        </w:tc>
        <w:tc>
          <w:tcPr>
            <w:tcW w:type="dxa" w:w="6860"/>
            <w:tcBorders>
              <w:top w:val="single" w:color="BBBBBB" w:sz="1"/>
              <w:left w:val="single" w:color="BBBBBB" w:sz="1"/>
              <w:bottom w:val="single" w:color="BBBBBB" w:sz="1"/>
              <w:right w:val="single" w:color="BBBBBB" w:sz="1"/>
            </w:tcBorders>
            <w:shd w:fill="F2F7F7" w:val="clear"/>
            <w:tcMar>
              <w:top w:type="dxa" w:w="80"/>
              <w:left w:type="dxa" w:w="120"/>
              <w:bottom w:type="dxa" w:w="80"/>
              <w:right w:type="dxa" w:w="120"/>
            </w:tcMar>
          </w:tcPr>
          <w:p>
            <w:r>
              <w:rPr>
                <w:rFonts w:ascii="Georgia" w:cs="Georgia" w:eastAsia="Georgia" w:hAnsi="Georgia"/>
                <w:b w:val="false"/>
                <w:bCs w:val="false"/>
                <w:sz w:val="18"/>
                <w:szCs w:val="18"/>
              </w:rPr>
              <w:t xml:space="preserve">Results are compiled into structured output consistent with the originating directive and active mode, pass the independent output boundary validation gate, and are delivered with quantified confidence.</w:t>
            </w:r>
          </w:p>
        </w:tc>
      </w:tr>
      <w:tr>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7. Continuous Adaptation</w:t>
            </w:r>
          </w:p>
        </w:tc>
        <w:tc>
          <w:tcPr>
            <w:tcW w:type="dxa" w:w="68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rFonts w:ascii="Georgia" w:cs="Georgia" w:eastAsia="Georgia" w:hAnsi="Georgia"/>
                <w:b w:val="false"/>
                <w:bCs w:val="false"/>
                <w:sz w:val="18"/>
                <w:szCs w:val="18"/>
              </w:rPr>
              <w:t xml:space="preserve">Stored memory and prior outputs refine future processing through governed adaptive mechanisms, updating user baselines and analytical context with each interaction.</w:t>
            </w:r>
          </w:p>
        </w:tc>
      </w:tr>
    </w:tbl>
    <w:p>
      <w:pPr>
        <w:spacing w:after="200" w:before="80"/>
      </w:pPr>
      <w:r>
        <w:rPr>
          <w:rFonts w:ascii="Georgia" w:cs="Georgia" w:eastAsia="Georgia" w:hAnsi="Georgia"/>
          <w:i/>
          <w:iCs/>
          <w:sz w:val="17"/>
          <w:szCs w:val="17"/>
        </w:rPr>
        <w:t xml:space="preserve">Table 1. The governed processing pipeline, presented at the conceptual level. Functional outcomes arise from coordinated processing across layers rather than isolated execution.</w:t>
      </w:r>
    </w:p>
    <w:p>
      <w:pPr>
        <w:pBdr>
          <w:bottom w:val="single" w:color="0B6E6E" w:sz="8" w:space="3"/>
        </w:pBdr>
        <w:spacing w:after="140" w:before="300"/>
      </w:pPr>
      <w:r>
        <w:rPr>
          <w:rFonts w:ascii="Georgia" w:cs="Georgia" w:eastAsia="Georgia" w:hAnsi="Georgia"/>
          <w:b/>
          <w:bCs/>
          <w:color w:val="0B6E6E"/>
          <w:sz w:val="26"/>
          <w:szCs w:val="26"/>
        </w:rPr>
        <w:t xml:space="preserve">6. Empirical Validation</w:t>
      </w:r>
    </w:p>
    <w:p>
      <w:pPr>
        <w:spacing w:after="130" w:line="276"/>
        <w:jc w:val="both"/>
      </w:pPr>
      <w:r>
        <w:rPr>
          <w:rFonts w:ascii="Georgia" w:cs="Georgia" w:eastAsia="Georgia" w:hAnsi="Georgia"/>
          <w:sz w:val="21"/>
          <w:szCs w:val="21"/>
        </w:rPr>
        <w:t xml:space="preserve">The governance architecture described above is not aspirational. It has been implemented, publicly deployed through four phased demonstration releases at viq.vigiiq.com, and evaluated under a controlled, pre-specified study protocol with independently validated scoring.</w:t>
      </w:r>
    </w:p>
    <w:p>
      <w:pPr>
        <w:spacing w:after="90" w:before="220"/>
      </w:pPr>
      <w:r>
        <w:rPr>
          <w:rFonts w:ascii="Georgia" w:cs="Georgia" w:eastAsia="Georgia" w:hAnsi="Georgia"/>
          <w:b/>
          <w:bCs/>
          <w:color w:val="0B6E6E"/>
          <w:sz w:val="22"/>
          <w:szCs w:val="22"/>
        </w:rPr>
        <w:t xml:space="preserve">6.1 The Phase 4 Governance Efficacy Study</w:t>
      </w:r>
    </w:p>
    <w:p>
      <w:pPr>
        <w:spacing w:after="130" w:line="276"/>
        <w:jc w:val="both"/>
      </w:pPr>
      <w:r>
        <w:rPr>
          <w:rFonts w:ascii="Georgia" w:cs="Georgia" w:eastAsia="Georgia" w:hAnsi="Georgia"/>
          <w:sz w:val="21"/>
          <w:szCs w:val="21"/>
        </w:rPr>
        <w:t xml:space="preserve">A 75-prompt structured battery across five prompt categories evaluated routing accuracy, governance block rates, and response quality through a two-stage methodology separating governance behavior from inference quality (DOI 10.5281/zenodo.20449812). Within its intended operational domain, the architecture achieved 92.0% routing accuracy on clinical domain prompts and 90.0% on structured analytical tasks, with 100% governance adherence across all 32 legitimate authorized prompts and a mean human composite quality score of 23.4 out of 25. The study also deliberately characterized the failure modes of the demonstration phase's keyword-assisted governance implementation under adversarial conditions, identifying four distinct vulnerability classes that constitute the precise engineering specification for the full system's semantic governance engine.</w:t>
      </w:r>
    </w:p>
    <w:p>
      <w:pPr>
        <w:spacing w:after="90" w:before="220"/>
      </w:pPr>
      <w:r>
        <w:rPr>
          <w:rFonts w:ascii="Georgia" w:cs="Georgia" w:eastAsia="Georgia" w:hAnsi="Georgia"/>
          <w:b/>
          <w:bCs/>
          <w:color w:val="0B6E6E"/>
          <w:sz w:val="22"/>
          <w:szCs w:val="22"/>
        </w:rPr>
        <w:t xml:space="preserve">6.2 Independent Blinded Validation</w:t>
      </w:r>
    </w:p>
    <w:p>
      <w:pPr>
        <w:spacing w:after="130" w:line="276"/>
        <w:jc w:val="both"/>
      </w:pPr>
      <w:r>
        <w:rPr>
          <w:rFonts w:ascii="Georgia" w:cs="Georgia" w:eastAsia="Georgia" w:hAnsi="Georgia"/>
          <w:sz w:val="21"/>
          <w:szCs w:val="21"/>
        </w:rPr>
        <w:t xml:space="preserve">An item-level blinded LLM judge independently rescored all 37 inference-engaged responses using the identical rubric (DOI 10.5281/zenodo.21323822). Agreement with the principal investigator was substantial overall (quadratic-weighted κ = 0.780) and near-perfect on governance adherence, the primary research dimension (quadratic-weighted κ = 0.944), with composite scores correlating at r = 0.907. The independent judge replicated the 100% governance adherence finding exactly - and scored the documented adversarial failures more severely than the founder did, confirming that the system's published limitations were conservatively reported, not favorably.</w:t>
      </w:r>
    </w:p>
    <w:p>
      <w:pPr>
        <w:spacing w:after="90" w:before="220"/>
      </w:pPr>
      <w:r>
        <w:rPr>
          <w:rFonts w:ascii="Georgia" w:cs="Georgia" w:eastAsia="Georgia" w:hAnsi="Georgia"/>
          <w:b/>
          <w:bCs/>
          <w:color w:val="0B6E6E"/>
          <w:sz w:val="22"/>
          <w:szCs w:val="22"/>
        </w:rPr>
        <w:t xml:space="preserve">6.3 What the Evidence Establishes</w:t>
      </w:r>
    </w:p>
    <w:p>
      <w:pPr>
        <w:pStyle w:val="ListParagraph"/>
        <w:numPr>
          <w:ilvl w:val="0"/>
          <w:numId w:val="2"/>
        </w:numPr>
        <w:spacing w:after="80"/>
      </w:pPr>
      <w:r>
        <w:rPr>
          <w:rFonts w:ascii="Georgia" w:cs="Georgia" w:eastAsia="Georgia" w:hAnsi="Georgia"/>
          <w:sz w:val="21"/>
          <w:szCs w:val="21"/>
        </w:rPr>
        <w:t xml:space="preserve">A governance-first architecture can achieve complete governance adherence within its intended operational domain - validated by two independent raters.</w:t>
      </w:r>
    </w:p>
    <w:p>
      <w:pPr>
        <w:pStyle w:val="ListParagraph"/>
        <w:numPr>
          <w:ilvl w:val="0"/>
          <w:numId w:val="2"/>
        </w:numPr>
        <w:spacing w:after="80"/>
      </w:pPr>
      <w:r>
        <w:rPr>
          <w:rFonts w:ascii="Georgia" w:cs="Georgia" w:eastAsia="Georgia" w:hAnsi="Georgia"/>
          <w:sz w:val="21"/>
          <w:szCs w:val="21"/>
        </w:rPr>
        <w:t xml:space="preserve">Pre-execution governance produces measurable computational efficiency by resolving policy violations before inference cost is incurred.</w:t>
      </w:r>
    </w:p>
    <w:p>
      <w:pPr>
        <w:pStyle w:val="ListParagraph"/>
        <w:numPr>
          <w:ilvl w:val="0"/>
          <w:numId w:val="2"/>
        </w:numPr>
        <w:spacing w:after="80"/>
      </w:pPr>
      <w:r>
        <w:rPr>
          <w:rFonts w:ascii="Georgia" w:cs="Georgia" w:eastAsia="Georgia" w:hAnsi="Georgia"/>
          <w:sz w:val="21"/>
          <w:szCs w:val="21"/>
        </w:rPr>
        <w:t xml:space="preserve">Governance success and answer quality are empirically separable - the study methodology can isolate whether a system earned the right to produce an output through a controlled pathway, not merely whether the output was good.</w:t>
      </w:r>
    </w:p>
    <w:p>
      <w:pPr>
        <w:pStyle w:val="ListParagraph"/>
        <w:numPr>
          <w:ilvl w:val="0"/>
          <w:numId w:val="2"/>
        </w:numPr>
        <w:spacing w:after="80"/>
      </w:pPr>
      <w:r>
        <w:rPr>
          <w:rFonts w:ascii="Georgia" w:cs="Georgia" w:eastAsia="Georgia" w:hAnsi="Georgia"/>
          <w:sz w:val="21"/>
          <w:szCs w:val="21"/>
        </w:rPr>
        <w:t xml:space="preserve">The limitations of lexical governance are structural and precisely characterized - which is exactly what the full system's semantic governance engine is specified against.</w:t>
      </w:r>
    </w:p>
    <w:p>
      <w:pPr>
        <w:pBdr>
          <w:bottom w:val="single" w:color="0B6E6E" w:sz="8" w:space="3"/>
        </w:pBdr>
        <w:spacing w:after="140" w:before="300"/>
      </w:pPr>
      <w:r>
        <w:rPr>
          <w:rFonts w:ascii="Georgia" w:cs="Georgia" w:eastAsia="Georgia" w:hAnsi="Georgia"/>
          <w:b/>
          <w:bCs/>
          <w:color w:val="0B6E6E"/>
          <w:sz w:val="26"/>
          <w:szCs w:val="26"/>
        </w:rPr>
        <w:t xml:space="preserve">7. From Demonstration to Full System</w:t>
      </w:r>
    </w:p>
    <w:p>
      <w:pPr>
        <w:spacing w:after="130" w:line="276"/>
        <w:jc w:val="both"/>
      </w:pPr>
      <w:r>
        <w:rPr>
          <w:rFonts w:ascii="Georgia" w:cs="Georgia" w:eastAsia="Georgia" w:hAnsi="Georgia"/>
          <w:sz w:val="21"/>
          <w:szCs w:val="21"/>
        </w:rPr>
        <w:t xml:space="preserve">VIQ Proto™, the publicly deployed demonstration system, represents a limited interface layer over the governance core. VIQ Praxis™, the full realized cognitive platform, expands beyond it along every axis while keeping the governance-first invariant fixed. The next architectural generation is specified directly by the published research findings:</w:t>
      </w:r>
    </w:p>
    <w:p>
      <w:pPr>
        <w:pStyle w:val="ListParagraph"/>
        <w:numPr>
          <w:ilvl w:val="0"/>
          <w:numId w:val="2"/>
        </w:numPr>
        <w:spacing w:after="80"/>
      </w:pPr>
      <w:r>
        <w:rPr>
          <w:rFonts w:ascii="Georgia" w:cs="Georgia" w:eastAsia="Georgia" w:hAnsi="Georgia"/>
          <w:b/>
          <w:bCs/>
          <w:sz w:val="21"/>
          <w:szCs w:val="21"/>
        </w:rPr>
        <w:t xml:space="preserve">Semantic policy evaluation. </w:t>
      </w:r>
      <w:r>
        <w:rPr>
          <w:rFonts w:ascii="Georgia" w:cs="Georgia" w:eastAsia="Georgia" w:hAnsi="Georgia"/>
          <w:sz w:val="21"/>
          <w:szCs w:val="21"/>
        </w:rPr>
        <w:t xml:space="preserve">The demonstration phases used keyword-assisted governance whose adversarial limitations were deliberately characterized in the Phase 4 study. The full system replaces lexical matching with a semantic policy evaluation engine that assesses prompt intent - including mixed-intent inputs where legitimate framing carries an embedded violation - closing each of the four documented failure classes.</w:t>
      </w:r>
    </w:p>
    <w:p>
      <w:pPr>
        <w:pStyle w:val="ListParagraph"/>
        <w:numPr>
          <w:ilvl w:val="0"/>
          <w:numId w:val="2"/>
        </w:numPr>
        <w:spacing w:after="80"/>
      </w:pPr>
      <w:r>
        <w:rPr>
          <w:rFonts w:ascii="Georgia" w:cs="Georgia" w:eastAsia="Georgia" w:hAnsi="Georgia"/>
          <w:b/>
          <w:bCs/>
          <w:sz w:val="21"/>
          <w:szCs w:val="21"/>
        </w:rPr>
        <w:t xml:space="preserve">Policy as configuration. </w:t>
      </w:r>
      <w:r>
        <w:rPr>
          <w:rFonts w:ascii="Georgia" w:cs="Georgia" w:eastAsia="Georgia" w:hAnsi="Georgia"/>
          <w:sz w:val="21"/>
          <w:szCs w:val="21"/>
        </w:rPr>
        <w:t xml:space="preserve">Governance policy becomes declarative, versioned configuration executed by the semantic engine rather than logic embedded in code - making every policy decision auditable against a specific policy version.</w:t>
      </w:r>
    </w:p>
    <w:p>
      <w:pPr>
        <w:pStyle w:val="ListParagraph"/>
        <w:numPr>
          <w:ilvl w:val="0"/>
          <w:numId w:val="2"/>
        </w:numPr>
        <w:spacing w:after="80"/>
      </w:pPr>
      <w:r>
        <w:rPr>
          <w:rFonts w:ascii="Georgia" w:cs="Georgia" w:eastAsia="Georgia" w:hAnsi="Georgia"/>
          <w:b/>
          <w:bCs/>
          <w:sz w:val="21"/>
          <w:szCs w:val="21"/>
        </w:rPr>
        <w:t xml:space="preserve">Governance-aware confidence. </w:t>
      </w:r>
      <w:r>
        <w:rPr>
          <w:rFonts w:ascii="Georgia" w:cs="Georgia" w:eastAsia="Georgia" w:hAnsi="Georgia"/>
          <w:sz w:val="21"/>
          <w:szCs w:val="21"/>
        </w:rPr>
        <w:t xml:space="preserve">The study's most consequential finding - the system's highest confidence score occurring on an adversarial override that bypassed governance - specifies a requirement: confidence scoring in the full system incorporates governance decision provenance, so that uncertain governance produces compensatory uncertainty in the output rather than false fluency.</w:t>
      </w:r>
    </w:p>
    <w:p>
      <w:pPr>
        <w:pStyle w:val="ListParagraph"/>
        <w:numPr>
          <w:ilvl w:val="0"/>
          <w:numId w:val="2"/>
        </w:numPr>
        <w:spacing w:after="80"/>
      </w:pPr>
      <w:r>
        <w:rPr>
          <w:rFonts w:ascii="Georgia" w:cs="Georgia" w:eastAsia="Georgia" w:hAnsi="Georgia"/>
          <w:b/>
          <w:bCs/>
          <w:sz w:val="21"/>
          <w:szCs w:val="21"/>
        </w:rPr>
        <w:t xml:space="preserve">Explicit refusal pathways. </w:t>
      </w:r>
      <w:r>
        <w:rPr>
          <w:rFonts w:ascii="Georgia" w:cs="Georgia" w:eastAsia="Georgia" w:hAnsi="Georgia"/>
          <w:sz w:val="21"/>
          <w:szCs w:val="21"/>
        </w:rPr>
        <w:t xml:space="preserve">The blinded validation report distinguished principled refusal from incidental safe failure. The full system implements refusal as a designed, first-class outcome for detected adversarial intent - safe outcomes by design, not by accident.</w:t>
      </w:r>
    </w:p>
    <w:p>
      <w:pPr>
        <w:pStyle w:val="ListParagraph"/>
        <w:numPr>
          <w:ilvl w:val="0"/>
          <w:numId w:val="2"/>
        </w:numPr>
        <w:spacing w:after="80"/>
      </w:pPr>
      <w:r>
        <w:rPr>
          <w:rFonts w:ascii="Georgia" w:cs="Georgia" w:eastAsia="Georgia" w:hAnsi="Georgia"/>
          <w:b/>
          <w:bCs/>
          <w:sz w:val="21"/>
          <w:szCs w:val="21"/>
        </w:rPr>
        <w:t xml:space="preserve">Partitioned persistent memory. </w:t>
      </w:r>
      <w:r>
        <w:rPr>
          <w:rFonts w:ascii="Georgia" w:cs="Georgia" w:eastAsia="Georgia" w:hAnsi="Georgia"/>
          <w:sz w:val="21"/>
          <w:szCs w:val="21"/>
        </w:rPr>
        <w:t xml:space="preserve">Per-user memory partitioning as a stated design requirement of the memory layer, with scalable vector-based storage replacing the demonstration phase's file-based persistence.</w:t>
      </w:r>
    </w:p>
    <w:p>
      <w:pPr>
        <w:pStyle w:val="ListParagraph"/>
        <w:numPr>
          <w:ilvl w:val="0"/>
          <w:numId w:val="2"/>
        </w:numPr>
        <w:spacing w:after="80"/>
      </w:pPr>
      <w:r>
        <w:rPr>
          <w:rFonts w:ascii="Georgia" w:cs="Georgia" w:eastAsia="Georgia" w:hAnsi="Georgia"/>
          <w:b/>
          <w:bCs/>
          <w:sz w:val="21"/>
          <w:szCs w:val="21"/>
        </w:rPr>
        <w:t xml:space="preserve">Modular service architecture. </w:t>
      </w:r>
      <w:r>
        <w:rPr>
          <w:rFonts w:ascii="Georgia" w:cs="Georgia" w:eastAsia="Georgia" w:hAnsi="Georgia"/>
          <w:sz w:val="21"/>
          <w:szCs w:val="21"/>
        </w:rPr>
        <w:t xml:space="preserve">The linear demonstration pipeline becomes a modular, high-concurrency service architecture - while the inference adapter contract and the research telemetry schema remain stable, so results across architectural generations remain scientifically comparable.</w:t>
      </w:r>
    </w:p>
    <w:p>
      <w:pPr>
        <w:pStyle w:val="ListParagraph"/>
        <w:numPr>
          <w:ilvl w:val="0"/>
          <w:numId w:val="2"/>
        </w:numPr>
        <w:spacing w:after="80"/>
      </w:pPr>
      <w:r>
        <w:rPr>
          <w:rFonts w:ascii="Georgia" w:cs="Georgia" w:eastAsia="Georgia" w:hAnsi="Georgia"/>
          <w:b/>
          <w:bCs/>
          <w:sz w:val="21"/>
          <w:szCs w:val="21"/>
        </w:rPr>
        <w:t xml:space="preserve">Domain constraint profiles. </w:t>
      </w:r>
      <w:r>
        <w:rPr>
          <w:rFonts w:ascii="Georgia" w:cs="Georgia" w:eastAsia="Georgia" w:hAnsi="Georgia"/>
          <w:sz w:val="21"/>
          <w:szCs w:val="21"/>
        </w:rPr>
        <w:t xml:space="preserve">Clinical research, regulatory compliance, psychometric, and AI safety domain expertise - the founder's professional disciplines - are encoded as machine-readable constraint profiles consumed by the policy engine, giving the governance layer domain-calibrated judgment that generic safety filters cannot replicate.</w:t>
      </w:r>
    </w:p>
    <w:p>
      <w:pPr>
        <w:spacing w:after="130" w:line="276"/>
        <w:jc w:val="both"/>
      </w:pPr>
      <w:r>
        <w:rPr>
          <w:rFonts w:ascii="Georgia" w:cs="Georgia" w:eastAsia="Georgia" w:hAnsi="Georgia"/>
          <w:sz w:val="21"/>
          <w:szCs w:val="21"/>
        </w:rPr>
        <w:t xml:space="preserve">Model-agnosticism is preserved throughout: the architecture has already operated over two different inference vendors without any change to its governance behavior, and the full system treats the underlying model as a replaceable engine. The governed cognitive system sits above models. It is not a new model.</w:t>
      </w:r>
    </w:p>
    <w:p>
      <w:pPr>
        <w:pBdr>
          <w:bottom w:val="single" w:color="0B6E6E" w:sz="8" w:space="3"/>
        </w:pBdr>
        <w:spacing w:after="140" w:before="300"/>
      </w:pPr>
      <w:r>
        <w:rPr>
          <w:rFonts w:ascii="Georgia" w:cs="Georgia" w:eastAsia="Georgia" w:hAnsi="Georgia"/>
          <w:b/>
          <w:bCs/>
          <w:color w:val="0B6E6E"/>
          <w:sz w:val="26"/>
          <w:szCs w:val="26"/>
        </w:rPr>
        <w:t xml:space="preserve">8. What VIQ™ Becomes</w:t>
      </w:r>
    </w:p>
    <w:p>
      <w:pPr>
        <w:spacing w:after="130" w:line="276"/>
        <w:jc w:val="both"/>
      </w:pPr>
      <w:r>
        <w:rPr>
          <w:rFonts w:ascii="Georgia" w:cs="Georgia" w:eastAsia="Georgia" w:hAnsi="Georgia"/>
          <w:sz w:val="21"/>
          <w:szCs w:val="21"/>
        </w:rPr>
        <w:t xml:space="preserve">VIQ Praxis™ will be delivered as a controlled, paid cognitive platform. Users do not interact with a generic assistant; they operate within a governed system environment where outputs are structured, reasoning is visible, confidence is quantified, permissions are enforced, and intelligence is bounded and interpretable.</w:t>
      </w:r>
    </w:p>
    <w:p>
      <w:pPr>
        <w:spacing w:after="130" w:line="276"/>
        <w:jc w:val="both"/>
      </w:pPr>
      <w:r>
        <w:rPr>
          <w:rFonts w:ascii="Georgia" w:cs="Georgia" w:eastAsia="Georgia" w:hAnsi="Georgia"/>
          <w:sz w:val="21"/>
          <w:szCs w:val="21"/>
        </w:rPr>
        <w:t xml:space="preserve">The platform is not paid because it 'uses AI.' It is paid because it provides structured intelligence rather than raw output; governed reasoning rather than freeform generation; confidence-backed outputs; persistent memory and continuity; domain-aware interaction modes; and controlled system behavior. Where most AI systems optimize for openness, VIQ™ optimizes for control. Where others prioritize generation, VIQ™ prioritizes reasoning. Where others scale capability without constraint, VIQ™ scales integrity.</w:t>
      </w:r>
    </w:p>
    <w:p>
      <w:pPr>
        <w:spacing w:after="90" w:before="220"/>
      </w:pPr>
      <w:r>
        <w:rPr>
          <w:rFonts w:ascii="Georgia" w:cs="Georgia" w:eastAsia="Georgia" w:hAnsi="Georgia"/>
          <w:b/>
          <w:bCs/>
          <w:color w:val="0B6E6E"/>
          <w:sz w:val="22"/>
          <w:szCs w:val="22"/>
        </w:rPr>
        <w:t xml:space="preserve">8.1 Deployment Configurations</w:t>
      </w:r>
    </w:p>
    <w:p>
      <w:pPr>
        <w:spacing w:after="130" w:line="276"/>
        <w:jc w:val="both"/>
      </w:pPr>
      <w:r>
        <w:rPr>
          <w:rFonts w:ascii="Georgia" w:cs="Georgia" w:eastAsia="Georgia" w:hAnsi="Georgia"/>
          <w:sz w:val="21"/>
          <w:szCs w:val="21"/>
        </w:rPr>
        <w:t xml:space="preserve">The architecture supports multiple deployment configurations: software-only local deployment; cloud-based and distributed deployment; hybrid configurations in which governance and memory execute locally while analytical processing executes remotely, for environments with intermittent connectivity or high-security local processing requirements; and third-party licensed integration, in which an operator's existing AI infrastructure serves as the computational engine while the VIQ™ architecture provides the governance framework, cognitive layer mapping, directive interface, and persistent memory. In every configuration, the Ω-IX™ gate retains its mandatory pre-execution role - governance travels with the architecture, not with the deployment.</w:t>
      </w:r>
    </w:p>
    <w:p>
      <w:pPr>
        <w:spacing w:after="130" w:line="276"/>
        <w:jc w:val="both"/>
      </w:pPr>
      <w:r>
        <w:rPr>
          <w:rFonts w:ascii="Georgia" w:cs="Georgia" w:eastAsia="Georgia" w:hAnsi="Georgia"/>
          <w:sz w:val="21"/>
          <w:szCs w:val="21"/>
        </w:rPr>
        <w:t xml:space="preserve">The licensing configuration is the foundation of the </w:t>
      </w:r>
      <w:r>
        <w:rPr>
          <w:rFonts w:ascii="Georgia" w:cs="Georgia" w:eastAsia="Georgia" w:hAnsi="Georgia"/>
          <w:b/>
          <w:bCs/>
          <w:sz w:val="21"/>
          <w:szCs w:val="21"/>
        </w:rPr>
        <w:t xml:space="preserve">'Governed by Ω-IX™'</w:t>
      </w:r>
      <w:r>
        <w:rPr>
          <w:rFonts w:ascii="Georgia" w:cs="Georgia" w:eastAsia="Georgia" w:hAnsi="Georgia"/>
          <w:sz w:val="21"/>
          <w:szCs w:val="21"/>
        </w:rPr>
        <w:t xml:space="preserve"> model: governance as a certifiable property of third-party systems, with the framework operating as the trust layer above whatever engine sits beneath it.</w:t>
      </w:r>
    </w:p>
    <w:p>
      <w:pPr>
        <w:pBdr>
          <w:bottom w:val="single" w:color="0B6E6E" w:sz="8" w:space="3"/>
        </w:pBdr>
        <w:spacing w:after="140" w:before="300"/>
      </w:pPr>
      <w:r>
        <w:rPr>
          <w:rFonts w:ascii="Georgia" w:cs="Georgia" w:eastAsia="Georgia" w:hAnsi="Georgia"/>
          <w:b/>
          <w:bCs/>
          <w:color w:val="0B6E6E"/>
          <w:sz w:val="26"/>
          <w:szCs w:val="26"/>
        </w:rPr>
        <w:t xml:space="preserve">9. What This Document Does Not Disclose</w:t>
      </w:r>
    </w:p>
    <w:p>
      <w:pPr>
        <w:spacing w:after="130" w:line="276"/>
        <w:jc w:val="both"/>
      </w:pPr>
      <w:r>
        <w:rPr>
          <w:rFonts w:ascii="Georgia" w:cs="Georgia" w:eastAsia="Georgia" w:hAnsi="Georgia"/>
          <w:sz w:val="21"/>
          <w:szCs w:val="21"/>
        </w:rPr>
        <w:t xml:space="preserve">Consistent with VIGI IQ's standing publication rule - concepts and results are public; mechanics are protected - the following are deliberately excluded from this document and from all public materials:</w:t>
      </w:r>
    </w:p>
    <w:p>
      <w:pPr>
        <w:pStyle w:val="ListParagraph"/>
        <w:numPr>
          <w:ilvl w:val="0"/>
          <w:numId w:val="2"/>
        </w:numPr>
        <w:spacing w:after="80"/>
      </w:pPr>
      <w:r>
        <w:rPr>
          <w:rFonts w:ascii="Georgia" w:cs="Georgia" w:eastAsia="Georgia" w:hAnsi="Georgia"/>
          <w:sz w:val="21"/>
          <w:szCs w:val="21"/>
        </w:rPr>
        <w:t xml:space="preserve">Proprietary component designations withheld pending trademark registration, and the internal naming architecture connecting them.</w:t>
      </w:r>
    </w:p>
    <w:p>
      <w:pPr>
        <w:pStyle w:val="ListParagraph"/>
        <w:numPr>
          <w:ilvl w:val="0"/>
          <w:numId w:val="2"/>
        </w:numPr>
        <w:spacing w:after="80"/>
      </w:pPr>
      <w:r>
        <w:rPr>
          <w:rFonts w:ascii="Georgia" w:cs="Georgia" w:eastAsia="Georgia" w:hAnsi="Georgia"/>
          <w:sz w:val="21"/>
          <w:szCs w:val="21"/>
        </w:rPr>
        <w:t xml:space="preserve">Governance evaluation vocabularies, matching methods, and the internal ordering of policy evaluation.</w:t>
      </w:r>
    </w:p>
    <w:p>
      <w:pPr>
        <w:pStyle w:val="ListParagraph"/>
        <w:numPr>
          <w:ilvl w:val="0"/>
          <w:numId w:val="2"/>
        </w:numPr>
        <w:spacing w:after="80"/>
      </w:pPr>
      <w:r>
        <w:rPr>
          <w:rFonts w:ascii="Georgia" w:cs="Georgia" w:eastAsia="Georgia" w:hAnsi="Georgia"/>
          <w:sz w:val="21"/>
          <w:szCs w:val="21"/>
        </w:rPr>
        <w:t xml:space="preserve">Prompt construction, inference-layer instructions, and output normalization mechanics.</w:t>
      </w:r>
    </w:p>
    <w:p>
      <w:pPr>
        <w:pStyle w:val="ListParagraph"/>
        <w:numPr>
          <w:ilvl w:val="0"/>
          <w:numId w:val="2"/>
        </w:numPr>
        <w:spacing w:after="80"/>
      </w:pPr>
      <w:r>
        <w:rPr>
          <w:rFonts w:ascii="Georgia" w:cs="Georgia" w:eastAsia="Georgia" w:hAnsi="Georgia"/>
          <w:sz w:val="21"/>
          <w:szCs w:val="21"/>
        </w:rPr>
        <w:t xml:space="preserve">Source structure, module organization, and implementation detail of any layer.</w:t>
      </w:r>
    </w:p>
    <w:p>
      <w:pPr>
        <w:pStyle w:val="ListParagraph"/>
        <w:numPr>
          <w:ilvl w:val="0"/>
          <w:numId w:val="2"/>
        </w:numPr>
        <w:spacing w:after="80"/>
      </w:pPr>
      <w:r>
        <w:rPr>
          <w:rFonts w:ascii="Georgia" w:cs="Georgia" w:eastAsia="Georgia" w:hAnsi="Georgia"/>
          <w:sz w:val="21"/>
          <w:szCs w:val="21"/>
        </w:rPr>
        <w:t xml:space="preserve">The syntax specification of the structured directive language.</w:t>
      </w:r>
    </w:p>
    <w:p>
      <w:pPr>
        <w:spacing w:after="130" w:line="276"/>
        <w:jc w:val="both"/>
      </w:pPr>
      <w:r>
        <w:rPr>
          <w:rFonts w:ascii="Georgia" w:cs="Georgia" w:eastAsia="Georgia" w:hAnsi="Georgia"/>
          <w:sz w:val="21"/>
          <w:szCs w:val="21"/>
        </w:rPr>
        <w:t xml:space="preserve">Full technical documentation, including the development record across all demonstration phases and the complete component architecture, is available to qualified parties under non-disclosure agreement. Contact </w:t>
      </w:r>
      <w:r>
        <w:rPr>
          <w:rFonts w:ascii="Georgia" w:cs="Georgia" w:eastAsia="Georgia" w:hAnsi="Georgia"/>
          <w:b/>
          <w:bCs/>
          <w:sz w:val="21"/>
          <w:szCs w:val="21"/>
        </w:rPr>
        <w:t xml:space="preserve">Inquiries@VigiIQ.com</w:t>
      </w:r>
      <w:r>
        <w:rPr>
          <w:rFonts w:ascii="Georgia" w:cs="Georgia" w:eastAsia="Georgia" w:hAnsi="Georgia"/>
          <w:sz w:val="21"/>
          <w:szCs w:val="21"/>
        </w:rPr>
        <w:t xml:space="preserve">.</w:t>
      </w:r>
    </w:p>
    <w:p>
      <w:pPr>
        <w:pBdr>
          <w:bottom w:val="single" w:color="0B6E6E" w:sz="8" w:space="3"/>
        </w:pBdr>
        <w:spacing w:after="140" w:before="300"/>
      </w:pPr>
      <w:r>
        <w:rPr>
          <w:rFonts w:ascii="Georgia" w:cs="Georgia" w:eastAsia="Georgia" w:hAnsi="Georgia"/>
          <w:b/>
          <w:bCs/>
          <w:color w:val="0B6E6E"/>
          <w:sz w:val="26"/>
          <w:szCs w:val="26"/>
        </w:rPr>
        <w:t xml:space="preserve">10. Provenance and Intellectual Property Status</w:t>
      </w:r>
    </w:p>
    <w:p>
      <w:pPr>
        <w:pStyle w:val="ListParagraph"/>
        <w:numPr>
          <w:ilvl w:val="0"/>
          <w:numId w:val="2"/>
        </w:numPr>
        <w:spacing w:after="80"/>
      </w:pPr>
      <w:r>
        <w:rPr>
          <w:rFonts w:ascii="Georgia" w:cs="Georgia" w:eastAsia="Georgia" w:hAnsi="Georgia"/>
          <w:sz w:val="21"/>
          <w:szCs w:val="21"/>
        </w:rPr>
        <w:t xml:space="preserve">Conceived September 29-30, 2020, documented in timestamped records retained by the inventor. The complete architecture - the governance framework, the cognitive layer family, the hierarchical control model, and the directive language concept - dates to that conception.</w:t>
      </w:r>
    </w:p>
    <w:p>
      <w:pPr>
        <w:pStyle w:val="ListParagraph"/>
        <w:numPr>
          <w:ilvl w:val="0"/>
          <w:numId w:val="2"/>
        </w:numPr>
        <w:spacing w:after="80"/>
      </w:pPr>
      <w:r>
        <w:rPr>
          <w:rFonts w:ascii="Georgia" w:cs="Georgia" w:eastAsia="Georgia" w:hAnsi="Georgia"/>
          <w:sz w:val="21"/>
          <w:szCs w:val="21"/>
        </w:rPr>
        <w:t xml:space="preserve">VIGI IQ, LLC formed with effective date September 1, 2024; first commercial use September 9, 2024.</w:t>
      </w:r>
    </w:p>
    <w:p>
      <w:pPr>
        <w:pStyle w:val="ListParagraph"/>
        <w:numPr>
          <w:ilvl w:val="0"/>
          <w:numId w:val="2"/>
        </w:numPr>
        <w:spacing w:after="80"/>
      </w:pPr>
      <w:r>
        <w:rPr>
          <w:rFonts w:ascii="Georgia" w:cs="Georgia" w:eastAsia="Georgia" w:hAnsi="Georgia"/>
          <w:sz w:val="21"/>
          <w:szCs w:val="21"/>
        </w:rPr>
        <w:t xml:space="preserve">Working cognitive prototype completed March 2026, constituting reduction to practice; four phased public demonstration releases deployed April-May 2026 at viq.vigiiq.com.</w:t>
      </w:r>
    </w:p>
    <w:p>
      <w:pPr>
        <w:pStyle w:val="ListParagraph"/>
        <w:numPr>
          <w:ilvl w:val="0"/>
          <w:numId w:val="2"/>
        </w:numPr>
        <w:spacing w:after="80"/>
      </w:pPr>
      <w:r>
        <w:rPr>
          <w:rFonts w:ascii="Georgia" w:cs="Georgia" w:eastAsia="Georgia" w:hAnsi="Georgia"/>
          <w:sz w:val="21"/>
          <w:szCs w:val="21"/>
        </w:rPr>
        <w:t xml:space="preserve">Provisional patent filed April 9, 2026 (Application No. 64/033,720), disclosing VIQ™ and the Omega Interaktiv Experience (Ω-IX)™. A second provisional patent filed August 27, 2026 (Application No. 64/142,761) discloses extensions to the Ω-IX™ governance framework, comprising epistemic and computational admissibility criteria for governed result propagation. Copyright registered April 2026. Trademark registrations in phased progress.</w:t>
      </w:r>
    </w:p>
    <w:p>
      <w:pPr>
        <w:pStyle w:val="ListParagraph"/>
        <w:numPr>
          <w:ilvl w:val="0"/>
          <w:numId w:val="2"/>
        </w:numPr>
        <w:spacing w:after="80"/>
      </w:pPr>
      <w:r>
        <w:rPr>
          <w:rFonts w:ascii="Georgia" w:cs="Georgia" w:eastAsia="Georgia" w:hAnsi="Georgia"/>
          <w:sz w:val="21"/>
          <w:szCs w:val="21"/>
        </w:rPr>
        <w:t xml:space="preserve">Published research record: conceptual framework (DOI 10.5281/zenodo.20447689); controlled governance efficacy study (DOI 10.5281/zenodo.20449812); item-level blinded inter-rater validation (DOI 10.5281/zenodo.21323822).</w:t>
      </w:r>
    </w:p>
    <w:p>
      <w:pPr>
        <w:spacing w:after="60" w:line="276"/>
        <w:jc w:val="both"/>
      </w:pPr>
      <w:r>
        <w:rPr>
          <w:rFonts w:ascii="Georgia" w:cs="Georgia" w:eastAsia="Georgia" w:hAnsi="Georgia"/>
          <w:sz w:val="21"/>
          <w:szCs w:val="21"/>
        </w:rPr>
        <w:t xml:space="preserve"/>
      </w:r>
    </w:p>
    <w:p>
      <w:pPr>
        <w:spacing w:before="200"/>
        <w:jc w:val="center"/>
      </w:pPr>
      <w:r>
        <w:rPr>
          <w:rFonts w:ascii="Georgia" w:cs="Georgia" w:eastAsia="Georgia" w:hAnsi="Georgia"/>
          <w:i/>
          <w:iCs/>
          <w:color w:val="777777"/>
          <w:sz w:val="17"/>
          <w:szCs w:val="17"/>
        </w:rPr>
        <w:t xml:space="preserve">VIQ™  |  Ω-IX™  |  VIGI IQ, LLC  |  VIGI IQ Labs™  |  Patent Pending (Application No. 64/033,720; Application No. 64/142,761)</w:t>
      </w:r>
    </w:p>
    <w:p>
      <w:pPr>
        <w:jc w:val="center"/>
      </w:pPr>
      <w:r>
        <w:rPr>
          <w:rFonts w:ascii="Georgia" w:cs="Georgia" w:eastAsia="Georgia" w:hAnsi="Georgia"/>
          <w:i/>
          <w:iCs/>
          <w:color w:val="777777"/>
          <w:sz w:val="17"/>
          <w:szCs w:val="17"/>
        </w:rPr>
        <w:t xml:space="preserve">Copyright 2020-2026 Chanel A. Henry &amp; VIGI IQ, LLC - All Rights Reserved  |  PUBLIC EDITION</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rPr>
        <w:rFonts w:ascii="Georgia" w:cs="Georgia" w:eastAsia="Georgia" w:hAnsi="Georgia"/>
        <w:sz w:val="21"/>
        <w:szCs w:val="21"/>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2026-07-13T16:10:08.138Z</dcterms:created>
  <dcterms:modified xsi:type="dcterms:W3CDTF">2026-07-13T16:10:08.139Z</dcterms:modified>
</cp:coreProperties>
</file>

<file path=docProps/custom.xml><?xml version="1.0" encoding="utf-8"?>
<Properties xmlns="http://schemas.openxmlformats.org/officeDocument/2006/custom-properties" xmlns:vt="http://schemas.openxmlformats.org/officeDocument/2006/docPropsVTypes"/>
</file>